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E4688">
      <w:pPr>
        <w:pStyle w:val="5"/>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合同主要条款</w:t>
      </w:r>
    </w:p>
    <w:p w14:paraId="00C96CE9">
      <w:pPr>
        <w:pStyle w:val="9"/>
        <w:adjustRightInd w:val="0"/>
        <w:snapToGrid w:val="0"/>
        <w:spacing w:line="324" w:lineRule="auto"/>
        <w:rPr>
          <w:rFonts w:hint="eastAsia"/>
          <w:snapToGrid w:val="0"/>
          <w:color w:val="auto"/>
          <w:kern w:val="0"/>
          <w:sz w:val="24"/>
          <w:szCs w:val="24"/>
          <w:highlight w:val="none"/>
        </w:rPr>
      </w:pPr>
    </w:p>
    <w:p w14:paraId="2E92DA3F">
      <w:pPr>
        <w:pStyle w:val="9"/>
        <w:adjustRightInd w:val="0"/>
        <w:snapToGrid w:val="0"/>
        <w:spacing w:line="324" w:lineRule="auto"/>
        <w:rPr>
          <w:rFonts w:hint="default" w:hAnsi="宋体" w:eastAsia="宋体"/>
          <w:bCs/>
          <w:color w:val="auto"/>
          <w:sz w:val="24"/>
          <w:szCs w:val="24"/>
          <w:highlight w:val="none"/>
          <w:lang w:val="en-US" w:eastAsia="zh-CN"/>
        </w:rPr>
      </w:pPr>
      <w:r>
        <w:rPr>
          <w:rFonts w:hint="eastAsia"/>
          <w:snapToGrid w:val="0"/>
          <w:color w:val="auto"/>
          <w:kern w:val="0"/>
          <w:sz w:val="24"/>
          <w:szCs w:val="24"/>
          <w:highlight w:val="none"/>
        </w:rPr>
        <w:t>甲方：</w:t>
      </w:r>
      <w:r>
        <w:rPr>
          <w:rFonts w:hint="eastAsia" w:hAnsi="宋体"/>
          <w:bCs/>
          <w:color w:val="auto"/>
          <w:sz w:val="24"/>
          <w:szCs w:val="24"/>
          <w:highlight w:val="none"/>
        </w:rPr>
        <w:t>安徽省</w:t>
      </w:r>
      <w:r>
        <w:rPr>
          <w:rFonts w:hint="eastAsia" w:hAnsi="宋体"/>
          <w:bCs/>
          <w:color w:val="auto"/>
          <w:sz w:val="24"/>
          <w:szCs w:val="24"/>
          <w:highlight w:val="none"/>
          <w:lang w:val="en-US" w:eastAsia="zh-CN"/>
        </w:rPr>
        <w:t>投资集团控股有限公司/深圳安徽实业有限公司</w:t>
      </w:r>
    </w:p>
    <w:p w14:paraId="7642BAD1">
      <w:pPr>
        <w:pStyle w:val="9"/>
        <w:adjustRightInd w:val="0"/>
        <w:snapToGrid w:val="0"/>
        <w:spacing w:line="324" w:lineRule="auto"/>
        <w:rPr>
          <w:rFonts w:hint="default" w:eastAsia="宋体"/>
          <w:snapToGrid w:val="0"/>
          <w:color w:val="auto"/>
          <w:kern w:val="0"/>
          <w:sz w:val="24"/>
          <w:szCs w:val="24"/>
          <w:highlight w:val="none"/>
          <w:u w:val="single"/>
          <w:lang w:val="en-US" w:eastAsia="zh-CN"/>
        </w:rPr>
      </w:pPr>
      <w:r>
        <w:rPr>
          <w:rFonts w:hint="eastAsia" w:hAnsi="宋体"/>
          <w:bCs/>
          <w:color w:val="auto"/>
          <w:sz w:val="24"/>
          <w:szCs w:val="24"/>
          <w:highlight w:val="none"/>
        </w:rPr>
        <w:t>乙方：</w:t>
      </w:r>
      <w:r>
        <w:rPr>
          <w:rFonts w:hint="eastAsia" w:hAnsi="宋体"/>
          <w:bCs/>
          <w:color w:val="auto"/>
          <w:sz w:val="24"/>
          <w:szCs w:val="24"/>
          <w:highlight w:val="none"/>
          <w:lang w:val="en-US" w:eastAsia="zh-CN"/>
        </w:rPr>
        <w:t xml:space="preserve">入库单位名称 </w:t>
      </w:r>
    </w:p>
    <w:p w14:paraId="16D459F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p>
    <w:p w14:paraId="6FB9E10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一、甲方权利义务</w:t>
      </w:r>
    </w:p>
    <w:p w14:paraId="40DED65D">
      <w:pPr>
        <w:keepNext w:val="0"/>
        <w:keepLines w:val="0"/>
        <w:pageBreakBefore w:val="0"/>
        <w:widowControl w:val="0"/>
        <w:kinsoku/>
        <w:wordWrap/>
        <w:overflowPunct/>
        <w:topLinePunct w:val="0"/>
        <w:autoSpaceDE/>
        <w:autoSpaceDN/>
        <w:bidi w:val="0"/>
        <w:adjustRightInd/>
        <w:snapToGrid/>
        <w:spacing w:line="240" w:lineRule="auto"/>
        <w:ind w:left="476" w:leftChars="17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甲方应督促资产评估委托方在约定的时间内</w:t>
      </w:r>
      <w:r>
        <w:rPr>
          <w:rFonts w:hint="eastAsia" w:asciiTheme="minorEastAsia" w:hAnsiTheme="minorEastAsia" w:eastAsiaTheme="minorEastAsia" w:cstheme="minorEastAsia"/>
          <w:color w:val="auto"/>
          <w:sz w:val="24"/>
          <w:szCs w:val="24"/>
          <w:highlight w:val="none"/>
        </w:rPr>
        <w:t>向乙方</w:t>
      </w:r>
      <w:r>
        <w:rPr>
          <w:rFonts w:hint="eastAsia" w:asciiTheme="minorEastAsia" w:hAnsiTheme="minorEastAsia" w:eastAsiaTheme="minorEastAsia" w:cstheme="minorEastAsia"/>
          <w:color w:val="auto"/>
          <w:sz w:val="24"/>
          <w:szCs w:val="24"/>
          <w:highlight w:val="none"/>
          <w:lang w:val="en-US" w:eastAsia="zh-CN"/>
        </w:rPr>
        <w:t>提供与评估业务有关的资料</w:t>
      </w:r>
      <w:r>
        <w:rPr>
          <w:rFonts w:hint="eastAsia" w:asciiTheme="minorEastAsia" w:hAnsiTheme="minorEastAsia" w:eastAsiaTheme="minorEastAsia" w:cstheme="minorEastAsia"/>
          <w:color w:val="auto"/>
          <w:sz w:val="24"/>
          <w:szCs w:val="24"/>
          <w:highlight w:val="none"/>
        </w:rPr>
        <w:t>。</w:t>
      </w:r>
    </w:p>
    <w:p w14:paraId="26949EF5">
      <w:pPr>
        <w:keepNext w:val="0"/>
        <w:keepLines w:val="0"/>
        <w:pageBreakBefore w:val="0"/>
        <w:widowControl w:val="0"/>
        <w:kinsoku/>
        <w:wordWrap/>
        <w:overflowPunct/>
        <w:topLinePunct w:val="0"/>
        <w:autoSpaceDE/>
        <w:autoSpaceDN/>
        <w:bidi w:val="0"/>
        <w:adjustRightInd/>
        <w:snapToGrid/>
        <w:spacing w:line="240" w:lineRule="auto"/>
        <w:ind w:left="476" w:leftChars="170"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对乙方提供的资产评估服务进行监督，对乙方的评估结论进行质询。</w:t>
      </w:r>
    </w:p>
    <w:p w14:paraId="46B2168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.甲方不保证乙方一定期限内最低中选项目数量及金额。如遇特殊评估项目时，经甲方</w:t>
      </w:r>
      <w:r>
        <w:rPr>
          <w:rFonts w:hint="eastAsia" w:asciiTheme="minorEastAsia" w:hAnsiTheme="minorEastAsia" w:eastAsiaTheme="minorEastAsia" w:cstheme="minorEastAsia"/>
          <w:color w:val="auto"/>
          <w:sz w:val="24"/>
          <w:szCs w:val="24"/>
          <w:highlight w:val="none"/>
          <w:lang w:val="en-US" w:eastAsia="zh-CN"/>
        </w:rPr>
        <w:t>流程审批</w:t>
      </w:r>
      <w:r>
        <w:rPr>
          <w:rFonts w:hint="eastAsia" w:asciiTheme="minorEastAsia" w:hAnsiTheme="minorEastAsia" w:eastAsiaTheme="minorEastAsia" w:cstheme="minorEastAsia"/>
          <w:color w:val="auto"/>
          <w:sz w:val="24"/>
          <w:szCs w:val="24"/>
          <w:highlight w:val="none"/>
        </w:rPr>
        <w:t xml:space="preserve">后，可不从库内产生供应商。 </w:t>
      </w:r>
    </w:p>
    <w:p w14:paraId="48F9C8D3">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乙方有下列情形之一的，甲方</w:t>
      </w:r>
      <w:r>
        <w:rPr>
          <w:rFonts w:hint="eastAsia" w:asciiTheme="minorEastAsia" w:hAnsiTheme="minorEastAsia" w:eastAsiaTheme="minorEastAsia" w:cstheme="minorEastAsia"/>
          <w:color w:val="auto"/>
          <w:sz w:val="24"/>
          <w:szCs w:val="24"/>
          <w:highlight w:val="none"/>
          <w:lang w:val="en-US" w:eastAsia="zh-CN"/>
        </w:rPr>
        <w:t>有权</w:t>
      </w:r>
      <w:r>
        <w:rPr>
          <w:rFonts w:hint="eastAsia" w:asciiTheme="minorEastAsia" w:hAnsiTheme="minorEastAsia" w:eastAsiaTheme="minorEastAsia" w:cstheme="minorEastAsia"/>
          <w:color w:val="auto"/>
          <w:sz w:val="24"/>
          <w:szCs w:val="24"/>
          <w:highlight w:val="none"/>
        </w:rPr>
        <w:t>将其从</w:t>
      </w:r>
      <w:r>
        <w:rPr>
          <w:rFonts w:hint="eastAsia" w:asciiTheme="minorEastAsia" w:hAnsiTheme="minorEastAsia" w:eastAsiaTheme="minorEastAsia" w:cstheme="minorEastAsia"/>
          <w:color w:val="auto"/>
          <w:sz w:val="24"/>
          <w:szCs w:val="24"/>
          <w:highlight w:val="none"/>
          <w:lang w:val="en-US" w:eastAsia="zh-CN"/>
        </w:rPr>
        <w:t>资产评估机构</w:t>
      </w:r>
      <w:r>
        <w:rPr>
          <w:rFonts w:hint="eastAsia" w:asciiTheme="minorEastAsia" w:hAnsiTheme="minorEastAsia" w:eastAsiaTheme="minorEastAsia" w:cstheme="minorEastAsia"/>
          <w:color w:val="auto"/>
          <w:sz w:val="24"/>
          <w:szCs w:val="24"/>
          <w:highlight w:val="none"/>
        </w:rPr>
        <w:t>备选库中剔除，不再委托其从事评估业务或解除相关业务约定书</w:t>
      </w:r>
      <w:r>
        <w:rPr>
          <w:rFonts w:hint="eastAsia" w:asciiTheme="minorEastAsia" w:hAnsiTheme="minorEastAsia" w:eastAsiaTheme="minorEastAsia" w:cstheme="minorEastAsia"/>
          <w:color w:val="auto"/>
          <w:sz w:val="24"/>
          <w:szCs w:val="24"/>
          <w:highlight w:val="none"/>
          <w:lang w:eastAsia="zh-CN"/>
        </w:rPr>
        <w:t>：</w:t>
      </w:r>
    </w:p>
    <w:p w14:paraId="13522AF4">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w:char="0081"/>
      </w:r>
      <w:r>
        <w:rPr>
          <w:rFonts w:hint="eastAsia" w:asciiTheme="minorEastAsia" w:hAnsiTheme="minorEastAsia" w:eastAsiaTheme="minorEastAsia" w:cstheme="minorEastAsia"/>
          <w:color w:val="auto"/>
          <w:sz w:val="24"/>
          <w:szCs w:val="24"/>
          <w:highlight w:val="none"/>
        </w:rPr>
        <w:t>履行评估程序严重不到位的；</w:t>
      </w:r>
    </w:p>
    <w:p w14:paraId="1130075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w:char="0082"/>
      </w:r>
      <w:r>
        <w:rPr>
          <w:rFonts w:hint="eastAsia" w:asciiTheme="minorEastAsia" w:hAnsiTheme="minorEastAsia" w:eastAsiaTheme="minorEastAsia" w:cstheme="minorEastAsia"/>
          <w:color w:val="auto"/>
          <w:sz w:val="24"/>
          <w:szCs w:val="24"/>
          <w:highlight w:val="none"/>
        </w:rPr>
        <w:t>出具虚假评估报告或重大遗漏评估报告的；</w:t>
      </w:r>
    </w:p>
    <w:p w14:paraId="0C547F4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w:char="0083"/>
      </w:r>
      <w:r>
        <w:rPr>
          <w:rFonts w:hint="eastAsia" w:asciiTheme="minorEastAsia" w:hAnsiTheme="minorEastAsia" w:eastAsiaTheme="minorEastAsia" w:cstheme="minorEastAsia"/>
          <w:color w:val="auto"/>
          <w:sz w:val="24"/>
          <w:szCs w:val="24"/>
          <w:highlight w:val="none"/>
        </w:rPr>
        <w:t>利用开展业务之便，谋取不正当利益的；</w:t>
      </w:r>
    </w:p>
    <w:p w14:paraId="4ECD169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w:char="0084"/>
      </w:r>
      <w:r>
        <w:rPr>
          <w:rFonts w:hint="eastAsia" w:asciiTheme="minorEastAsia" w:hAnsiTheme="minorEastAsia" w:eastAsiaTheme="minorEastAsia" w:cstheme="minorEastAsia"/>
          <w:color w:val="auto"/>
          <w:sz w:val="24"/>
          <w:szCs w:val="24"/>
          <w:highlight w:val="none"/>
        </w:rPr>
        <w:t>受到行业协会通报批评以上惩戒的；</w:t>
      </w:r>
    </w:p>
    <w:p w14:paraId="595AE849">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sym w:font="Wingdings" w:char="0085"/>
      </w:r>
      <w:r>
        <w:rPr>
          <w:rFonts w:hint="eastAsia" w:asciiTheme="minorEastAsia" w:hAnsiTheme="minorEastAsia" w:eastAsiaTheme="minorEastAsia" w:cstheme="minorEastAsia"/>
          <w:color w:val="auto"/>
          <w:sz w:val="24"/>
          <w:szCs w:val="24"/>
          <w:highlight w:val="none"/>
        </w:rPr>
        <w:t>其他违规执业行为。</w:t>
      </w:r>
    </w:p>
    <w:p w14:paraId="0636F608">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二、乙方权利义务</w:t>
      </w:r>
    </w:p>
    <w:p w14:paraId="6E1DB3F4">
      <w:pPr>
        <w:pStyle w:val="11"/>
        <w:pageBreakBefore w:val="0"/>
        <w:widowControl w:val="0"/>
        <w:kinsoku/>
        <w:wordWrap/>
        <w:overflowPunct/>
        <w:topLinePunct w:val="0"/>
        <w:autoSpaceDE/>
        <w:autoSpaceDN/>
        <w:bidi w:val="0"/>
        <w:adjustRightInd/>
        <w:snapToGrid/>
        <w:spacing w:after="0" w:line="240" w:lineRule="auto"/>
        <w:ind w:left="0" w:leftChars="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1.乙方作为入库供应商，对甲方及其</w:t>
      </w:r>
      <w:r>
        <w:rPr>
          <w:rFonts w:hint="eastAsia" w:asciiTheme="minorEastAsia" w:hAnsiTheme="minorEastAsia" w:eastAsiaTheme="minorEastAsia" w:cstheme="minorEastAsia"/>
          <w:color w:val="auto"/>
          <w:sz w:val="24"/>
          <w:szCs w:val="24"/>
          <w:highlight w:val="none"/>
          <w:lang w:val="en-US" w:eastAsia="zh-CN"/>
        </w:rPr>
        <w:t>各级</w:t>
      </w:r>
      <w:r>
        <w:rPr>
          <w:rFonts w:hint="eastAsia" w:asciiTheme="minorEastAsia" w:hAnsiTheme="minorEastAsia" w:eastAsiaTheme="minorEastAsia" w:cstheme="minorEastAsia"/>
          <w:color w:val="auto"/>
          <w:sz w:val="24"/>
          <w:szCs w:val="24"/>
          <w:highlight w:val="none"/>
        </w:rPr>
        <w:t>子</w:t>
      </w:r>
      <w:r>
        <w:rPr>
          <w:rFonts w:hint="eastAsia" w:asciiTheme="minorEastAsia" w:hAnsiTheme="minorEastAsia" w:eastAsiaTheme="minorEastAsia" w:cstheme="minorEastAsia"/>
          <w:color w:val="auto"/>
          <w:sz w:val="24"/>
          <w:szCs w:val="24"/>
          <w:highlight w:val="none"/>
          <w:lang w:val="en-US" w:eastAsia="zh-CN"/>
        </w:rPr>
        <w:t>公司的资产</w:t>
      </w:r>
      <w:r>
        <w:rPr>
          <w:rFonts w:hint="eastAsia" w:asciiTheme="minorEastAsia" w:hAnsiTheme="minorEastAsia" w:eastAsiaTheme="minorEastAsia" w:cstheme="minorEastAsia"/>
          <w:color w:val="auto"/>
          <w:sz w:val="24"/>
          <w:szCs w:val="24"/>
          <w:highlight w:val="none"/>
        </w:rPr>
        <w:t>评估项目享有投标权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乙方接受甲方及各级子公司按照其采购管理相关制度规定，选择合适的采购方式，确定中选单位。</w:t>
      </w:r>
    </w:p>
    <w:p w14:paraId="1A6614E0">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乙方应</w:t>
      </w:r>
      <w:r>
        <w:rPr>
          <w:rFonts w:hint="eastAsia" w:asciiTheme="minorEastAsia" w:hAnsiTheme="minorEastAsia" w:eastAsiaTheme="minorEastAsia" w:cstheme="minorEastAsia"/>
          <w:color w:val="auto"/>
          <w:sz w:val="24"/>
          <w:szCs w:val="24"/>
          <w:highlight w:val="none"/>
        </w:rPr>
        <w:t>指定专人作为项目负责人，代表乙方处理与甲方资产评估招标采购过程中的有关事宜。</w:t>
      </w:r>
    </w:p>
    <w:p w14:paraId="71DC54C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3.乙方有责任根据与甲方签订的合同</w:t>
      </w:r>
      <w:r>
        <w:rPr>
          <w:rFonts w:hint="eastAsia" w:asciiTheme="minorEastAsia" w:hAnsiTheme="minorEastAsia" w:eastAsiaTheme="minorEastAsia" w:cstheme="minorEastAsia"/>
          <w:color w:val="auto"/>
          <w:sz w:val="24"/>
          <w:szCs w:val="24"/>
          <w:highlight w:val="none"/>
          <w:lang w:val="en-US" w:eastAsia="zh-CN"/>
        </w:rPr>
        <w:t>对其产品或服务的质量负责。</w:t>
      </w:r>
    </w:p>
    <w:p w14:paraId="4663194D">
      <w:pPr>
        <w:pStyle w:val="1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4.接受甲方关于资产评估备选库的管理，认可相关约束与评价要求，依法合规开展资产评估业务，配合甲方开展评价工作并接受评价结果。</w:t>
      </w:r>
    </w:p>
    <w:p w14:paraId="7AE8EAB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三、其他</w:t>
      </w:r>
    </w:p>
    <w:p w14:paraId="4A57E68F">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1.本协议有效期自</w:t>
      </w:r>
      <w:r>
        <w:rPr>
          <w:rFonts w:hint="eastAsia" w:asciiTheme="minorEastAsia" w:hAnsiTheme="minorEastAsia" w:eastAsiaTheme="minorEastAsia" w:cstheme="minorEastAsia"/>
          <w:color w:val="auto"/>
          <w:sz w:val="24"/>
          <w:szCs w:val="24"/>
          <w:highlight w:val="none"/>
          <w:lang w:val="en-US" w:eastAsia="zh-CN"/>
        </w:rPr>
        <w:t>合同生效之日起，至 2026年12月31日。</w:t>
      </w:r>
    </w:p>
    <w:p w14:paraId="1C57B090">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2.甲乙任何一方如提前终止协议，需提前一个月通知另一方；如一方擅自终止协议，另一方将保留对违约方追究违约责任的权利。</w:t>
      </w:r>
    </w:p>
    <w:p w14:paraId="01FAA5B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.本协议为合作框架协议，项目具体开展时，由乙</w:t>
      </w:r>
      <w:r>
        <w:rPr>
          <w:rFonts w:hint="eastAsia" w:asciiTheme="minorEastAsia" w:hAnsiTheme="minorEastAsia" w:eastAsiaTheme="minorEastAsia" w:cstheme="minorEastAsia"/>
          <w:color w:val="auto"/>
          <w:sz w:val="24"/>
          <w:szCs w:val="24"/>
          <w:highlight w:val="none"/>
          <w:lang w:val="en-US" w:eastAsia="zh-CN"/>
        </w:rPr>
        <w:t>方与评估委托方</w:t>
      </w:r>
      <w:r>
        <w:rPr>
          <w:rFonts w:hint="eastAsia" w:asciiTheme="minorEastAsia" w:hAnsiTheme="minorEastAsia" w:eastAsiaTheme="minorEastAsia" w:cstheme="minorEastAsia"/>
          <w:color w:val="auto"/>
          <w:sz w:val="24"/>
          <w:szCs w:val="24"/>
          <w:highlight w:val="none"/>
        </w:rPr>
        <w:t>另行签订项目合同。框架协议与正式项目合同构成不可分割的整体，作为合作的法律文件。　</w:t>
      </w:r>
    </w:p>
    <w:p w14:paraId="2A2AD983">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无正当理由不得放弃参与投标的资格，确有特殊原因放弃的，应至少在采购工作开始前3个工作日书面告知甲方。乙方半年内累计2次放弃参与投标资格的，甲方予以警告，并暂停6个月投标资格；恢复投标资格后半年内再次出现放弃参与投标资格的，将被从备选库中剔除。</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备注：“</w:t>
      </w:r>
      <w:r>
        <w:rPr>
          <w:rFonts w:hint="eastAsia" w:asciiTheme="minorEastAsia" w:hAnsiTheme="minorEastAsia" w:eastAsiaTheme="minorEastAsia" w:cstheme="minorEastAsia"/>
          <w:color w:val="auto"/>
          <w:sz w:val="24"/>
          <w:szCs w:val="24"/>
          <w:highlight w:val="none"/>
        </w:rPr>
        <w:t>不得放弃参与投标的资格</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是指评估需求单位向备选库内的评估机构发出邀请评估机构无正当理由不得拒绝</w:t>
      </w:r>
      <w:bookmarkStart w:id="0" w:name="_GoBack"/>
      <w:bookmarkEnd w:id="0"/>
      <w:r>
        <w:rPr>
          <w:rFonts w:hint="eastAsia" w:asciiTheme="minorEastAsia" w:hAnsiTheme="minorEastAsia" w:eastAsiaTheme="minorEastAsia" w:cstheme="minorEastAsia"/>
          <w:color w:val="auto"/>
          <w:sz w:val="24"/>
          <w:szCs w:val="24"/>
          <w:highlight w:val="none"/>
          <w:lang w:eastAsia="zh-CN"/>
        </w:rPr>
        <w:t>）</w:t>
      </w:r>
    </w:p>
    <w:p w14:paraId="7FEBDF5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5.对于在投标时承诺承接小额零星评估服务的，无正当理由不得放弃参与投标的资格，</w:t>
      </w:r>
      <w:r>
        <w:rPr>
          <w:rFonts w:hint="eastAsia" w:asciiTheme="minorEastAsia" w:hAnsiTheme="minorEastAsia" w:eastAsiaTheme="minorEastAsia" w:cstheme="minorEastAsia"/>
          <w:color w:val="auto"/>
          <w:sz w:val="24"/>
          <w:szCs w:val="24"/>
          <w:highlight w:val="none"/>
        </w:rPr>
        <w:t>确有特殊原因放弃的，应至少在采购工作开始前3个工作日书面告知甲方。乙方</w:t>
      </w:r>
      <w:r>
        <w:rPr>
          <w:rFonts w:hint="eastAsia" w:asciiTheme="minorEastAsia" w:hAnsiTheme="minorEastAsia" w:eastAsiaTheme="minorEastAsia" w:cstheme="minorEastAsia"/>
          <w:color w:val="auto"/>
          <w:sz w:val="24"/>
          <w:szCs w:val="24"/>
          <w:highlight w:val="none"/>
          <w:lang w:val="en-US" w:eastAsia="zh-CN"/>
        </w:rPr>
        <w:t>无故放弃投标的，</w:t>
      </w:r>
      <w:r>
        <w:rPr>
          <w:rFonts w:hint="eastAsia" w:asciiTheme="minorEastAsia" w:hAnsiTheme="minorEastAsia" w:eastAsiaTheme="minorEastAsia" w:cstheme="minorEastAsia"/>
          <w:color w:val="auto"/>
          <w:sz w:val="24"/>
          <w:szCs w:val="24"/>
          <w:highlight w:val="none"/>
        </w:rPr>
        <w:t>甲方予以警告，并暂停6个月投标资格；恢复投标资格后半年内再次出现放弃参与投标资格的，将被从备选库中剔除。</w:t>
      </w:r>
    </w:p>
    <w:p w14:paraId="6905DBE0">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.在发生因履行本协议或本协议有关的争议时，各方应本着友好协商的精神解决，凡因本协议引起的或与本协议有关的任何争议，如果协商不成，双方同意提交协议签订地有管辖权的法院通过诉讼方式解决。</w:t>
      </w:r>
    </w:p>
    <w:p w14:paraId="6C7B85F5">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甲、乙双方应在任何时间遵守中国法下所有与反贪污和反贿赂相关的法律、法规和规则。双方承诺，在本协议的签署及履行过程中，其自身应当，并应促使其为履行本协议的工作人员严格遵守法律法规、行业自律规则、社会公德、商业道德、职业道德和行为规范，不得以任何方式直接或间接贿赂对方的任何人员和/或与该等人员具有利益关系的人员，不得以任何方式直接或间接提供或索取回扣、佣金等不正当财物、利益或机会，不得为谋取不当利益以任何方式直接或间接提供或获取内幕信息、未公开信息、商业秘密和客户信息，不得以任何方式进行其他商业贿赂或为谋取不当利益进行利益输送。双方理解并同意配合对方或其监管机构就廉洁从业及反商业贿赂开展的检查调查工作，并提供必要的协助及配合。</w:t>
      </w:r>
    </w:p>
    <w:p w14:paraId="6F66027B">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保密：</w:t>
      </w:r>
    </w:p>
    <w:p w14:paraId="145D881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密信息指在讨论、签订、执行本协议过程中，乙方从甲方（或从其母公司、子公司、关联公司及其工作人员等）所获悉的与合作有关或因合作产生的无法自公开渠道获得的，与甲方或与本项目相关的资料，无论以何种形式或何种载体，包括但不限于尚未公开披露的财务信息、技术信息、经营信息、项目信息、商业信息及其他相关信息。</w:t>
      </w:r>
    </w:p>
    <w:p w14:paraId="3DC907B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乙方应采取一切合理且不低于乙方对其自身类似保密信息所采取的措施来保护甲方向其披露的保密信息，以防止保密信息被盗窃、被泄露、未经授权的使用、因任何第三人的疏忽导致保密信息的泄露。</w:t>
      </w:r>
    </w:p>
    <w:p w14:paraId="37EEB85D">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未经甲方同意，乙方不得向第三方泄露该保密信息的全部或部分内容，并保证其在合作中有必要知晓保密信息的雇员及关联方，受到与本协议同等严格的保密义务约束。但法律、法规另有规定或双方另有约定的除外。</w:t>
      </w:r>
    </w:p>
    <w:p w14:paraId="6160F88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无论因为何种原因导致甲乙双方的合作目的未予实现，乙方应当根据甲方要求予以返还或销毁其所获取的所有保密信息（包括但不限于相关文件、资料等），不得以任何理由和方式保留。该等文件、资料的返还和销毁并不免除乙方及其接触本协议所称保密信息的雇员或其他人员保密义务。</w:t>
      </w:r>
    </w:p>
    <w:p w14:paraId="435F87AE">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保密期限自本协议签订生效之日起至保密信息被甲方依法公开披露或成为公开信息之日止。保密义务不因本协议的无效、中止、终止、被解除和履行完毕而解除。</w:t>
      </w:r>
    </w:p>
    <w:p w14:paraId="2AE9E96A">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乙方未履行上述保密义务均被视为违约，应依照本协议或者法律规定承担责任。如乙方因违约而受有利益，则应将所得利益支付给甲方。</w:t>
      </w:r>
    </w:p>
    <w:p w14:paraId="451211AC">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本条之规定在本合同终止后依然有效。</w:t>
      </w:r>
    </w:p>
    <w:p w14:paraId="116308D0">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237AAC85">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注：本章所列内容为本项目合同的主要条款，合同具体格式待确定成交单位后另行提供。</w:t>
      </w:r>
    </w:p>
    <w:p w14:paraId="713EE8A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604C8"/>
    <w:rsid w:val="5E172FE3"/>
    <w:rsid w:val="71360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00" w:lineRule="exact"/>
      <w:ind w:firstLine="420" w:firstLineChars="200"/>
      <w:jc w:val="both"/>
    </w:pPr>
    <w:rPr>
      <w:rFonts w:ascii="Calibri" w:hAnsi="Calibri" w:eastAsia="宋体" w:cs="Times New Roman"/>
      <w:kern w:val="2"/>
      <w:sz w:val="28"/>
      <w:szCs w:val="22"/>
      <w:lang w:val="en-US" w:eastAsia="zh-CN" w:bidi="ar-SA"/>
    </w:rPr>
  </w:style>
  <w:style w:type="paragraph" w:styleId="5">
    <w:name w:val="heading 1"/>
    <w:basedOn w:val="1"/>
    <w:next w:val="1"/>
    <w:qFormat/>
    <w:uiPriority w:val="0"/>
    <w:pPr>
      <w:keepNext/>
      <w:keepLines/>
      <w:spacing w:before="340" w:after="330" w:line="360" w:lineRule="auto"/>
      <w:jc w:val="center"/>
      <w:outlineLvl w:val="0"/>
    </w:pPr>
    <w:rPr>
      <w:rFonts w:ascii="Times New Roman" w:hAnsi="Times New Roman"/>
      <w:b/>
      <w:kern w:val="44"/>
      <w:sz w:val="44"/>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tabs>
        <w:tab w:val="left" w:pos="1418"/>
      </w:tabs>
      <w:autoSpaceDE w:val="0"/>
      <w:autoSpaceDN w:val="0"/>
      <w:adjustRightInd w:val="0"/>
      <w:spacing w:before="120" w:after="120"/>
      <w:ind w:left="1418" w:hanging="567"/>
    </w:pPr>
    <w:rPr>
      <w:rFonts w:ascii="Times New Roman" w:hAnsi="Times New Roman" w:eastAsia="PMingLiU" w:cs="Times New Roman"/>
      <w:kern w:val="2"/>
      <w:sz w:val="36"/>
      <w:szCs w:val="24"/>
      <w:lang w:val="en-US" w:eastAsia="zh-TW" w:bidi="ar-SA"/>
    </w:rPr>
  </w:style>
  <w:style w:type="paragraph" w:styleId="3">
    <w:name w:val="Body Text"/>
    <w:basedOn w:val="1"/>
    <w:next w:val="4"/>
    <w:qFormat/>
    <w:uiPriority w:val="0"/>
    <w:pPr>
      <w:spacing w:after="120"/>
    </w:pPr>
  </w:style>
  <w:style w:type="paragraph" w:styleId="4">
    <w:name w:val="Date"/>
    <w:basedOn w:val="1"/>
    <w:next w:val="1"/>
    <w:qFormat/>
    <w:uiPriority w:val="0"/>
    <w:pPr>
      <w:ind w:left="2500" w:leftChars="2500"/>
    </w:pPr>
    <w:rPr>
      <w:rFonts w:ascii="Times New Roman" w:hAnsi="Times New Roman"/>
      <w:szCs w:val="20"/>
    </w:rPr>
  </w:style>
  <w:style w:type="paragraph" w:styleId="6">
    <w:name w:val="Body Text Indent"/>
    <w:basedOn w:val="1"/>
    <w:next w:val="7"/>
    <w:semiHidden/>
    <w:qFormat/>
    <w:uiPriority w:val="99"/>
    <w:pPr>
      <w:spacing w:after="120"/>
      <w:ind w:left="420" w:leftChars="200"/>
    </w:pPr>
  </w:style>
  <w:style w:type="paragraph" w:styleId="7">
    <w:name w:val="envelope return"/>
    <w:basedOn w:val="1"/>
    <w:next w:val="8"/>
    <w:qFormat/>
    <w:uiPriority w:val="0"/>
    <w:pPr>
      <w:autoSpaceDE w:val="0"/>
      <w:autoSpaceDN w:val="0"/>
      <w:snapToGrid w:val="0"/>
      <w:spacing w:line="360" w:lineRule="auto"/>
      <w:jc w:val="left"/>
    </w:pPr>
    <w:rPr>
      <w:rFonts w:ascii="Arial" w:hAnsi="Arial" w:cs="Arial"/>
      <w:kern w:val="0"/>
      <w:sz w:val="22"/>
      <w:szCs w:val="20"/>
      <w:lang w:val="zh-CN" w:bidi="zh-CN"/>
    </w:rPr>
  </w:style>
  <w:style w:type="paragraph" w:styleId="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9">
    <w:name w:val="Plain Text"/>
    <w:basedOn w:val="1"/>
    <w:qFormat/>
    <w:uiPriority w:val="0"/>
    <w:rPr>
      <w:rFonts w:ascii="宋体"/>
    </w:rPr>
  </w:style>
  <w:style w:type="paragraph" w:styleId="10">
    <w:name w:val="header"/>
    <w:basedOn w:val="1"/>
    <w:next w:val="1"/>
    <w:qFormat/>
    <w:uiPriority w:val="0"/>
    <w:pPr>
      <w:tabs>
        <w:tab w:val="center" w:pos="4153"/>
        <w:tab w:val="right" w:pos="8306"/>
      </w:tabs>
      <w:snapToGrid w:val="0"/>
    </w:pPr>
    <w:rPr>
      <w:rFonts w:ascii="Times New Roman" w:hAnsi="Times New Roman"/>
      <w:sz w:val="18"/>
      <w:szCs w:val="20"/>
    </w:rPr>
  </w:style>
  <w:style w:type="paragraph" w:styleId="11">
    <w:name w:val="Body Text First Indent 2"/>
    <w:basedOn w:val="6"/>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1991</Words>
  <Characters>2012</Characters>
  <Lines>0</Lines>
  <Paragraphs>0</Paragraphs>
  <TotalTime>3</TotalTime>
  <ScaleCrop>false</ScaleCrop>
  <LinksUpToDate>false</LinksUpToDate>
  <CharactersWithSpaces>2016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2025-01-06T06:06:00Z</dcterms:created>
  <dc:creator>憧憬1418627698</dc:creator>
  <cp:lastModifiedBy>憧憬1418627698</cp:lastModifiedBy>
  <dcterms:modified xsi:type="dcterms:W3CDTF">2025-01-06T08:50:21Z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5E1E9FB9F6D8414A94C8EE23DBD4EFC1_11</vt:lpwstr>
  </property>
  <property fmtid="{D5CDD505-2E9C-101B-9397-08002B2CF9AE}" pid="4" name="KSOTemplateDocerSaveRecord">
    <vt:lpwstr>eyJoZGlkIjoiNTgyNWQ4NGEyZTJlNTY2YTdhN2FiMDk3NDlkOTg1MjAiLCJ1c2VySWQiOiIyNjg3MDU5OCJ9</vt:lpwstr>
  </property>
</Properties>
</file>